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</w:p>
    <w:p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Kesimpulan</w:t>
      </w:r>
    </w:p>
    <w:p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Berdasarkan hasil analisis dan pembahasan yang telah dilakukan pada bab sebelumnya, pen</w:t>
      </w:r>
      <w:r>
        <w:rPr>
          <w:rFonts w:ascii="Times New Roman" w:hAnsi="Times New Roman" w:cs="Times New Roman"/>
          <w:sz w:val="24"/>
          <w:szCs w:val="24"/>
          <w:lang w:val="id-ID"/>
        </w:rPr>
        <w:t>ulis</w:t>
      </w:r>
      <w:r>
        <w:rPr>
          <w:rFonts w:ascii="Times New Roman" w:hAnsi="Times New Roman" w:cs="Times New Roman"/>
          <w:sz w:val="24"/>
          <w:szCs w:val="24"/>
        </w:rPr>
        <w:t xml:space="preserve"> memperoleh kesimpulan sebagai berikut:</w:t>
      </w:r>
    </w:p>
    <w:p>
      <w:pPr>
        <w:pStyle w:val="6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Pencapaian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pada Bank BNI Syariah per-triwulan selama periode 2012-2016, setiap periodenya mengalami perkembangan yang fluktuatif. Pencapaian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Bank BNI Syariah periode 2012-2016 telah memenuhi kecukupan modal minimum yang telah ditetapkan oleh Bank Indonesia dengan rata-rata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 selama 5 tahun terakhir sebesar 16,33%, perkembangan terbesar berada pada tahun 2013 triwulan ke-2 sebesar 4,98% pada posisi CAR ditahun dan triwulan tersebut sebesar 19,12%, perkembangan terkecil berada pada tahun 2015 triwulan ke-1 sebesar -3,36% pada posisi CAR ditahun dan triwulan tersebut sebesar 15,4%.</w:t>
      </w:r>
    </w:p>
    <w:p>
      <w:pPr>
        <w:pStyle w:val="6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Besarnya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>(FDR) mengalami perkembangan yang berfluktuatif selama 5 tahun terakhir dengan rata-rata yang didapat sebesar 89,54%, perkembangan terbesar berada pada tahun 2013 triwulan ke-2 sebesar 12,02% pada posisi FDR ditahun dan triwulan tersebut sebesar 92,13%, perkembangan terkecil berada pada tahun 2015 triwulan ke-3 sebesar -7% pada posisi FDR ditahun dan triwulan tersebut sebesar 89,65%.</w:t>
      </w:r>
    </w:p>
    <w:p>
      <w:pPr>
        <w:pStyle w:val="6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tingkat </w:t>
      </w:r>
      <w:r>
        <w:rPr>
          <w:rFonts w:ascii="Times New Roman" w:hAnsi="Times New Roman" w:cs="Times New Roman"/>
          <w:i/>
          <w:sz w:val="24"/>
          <w:szCs w:val="24"/>
        </w:rPr>
        <w:t>Retur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n On Asset </w:t>
      </w:r>
      <w:r>
        <w:rPr>
          <w:rFonts w:ascii="Times New Roman" w:hAnsi="Times New Roman" w:cs="Times New Roman"/>
          <w:sz w:val="24"/>
          <w:szCs w:val="24"/>
        </w:rPr>
        <w:t xml:space="preserve">(ROA) yang dicapai presentase perkembangannya berfluktuatif menurun. Merujuk pada variabel Y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yang perkembangannya selalu berfluktuatif, hal ini dikarenakan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dipengaruhi oleh besarnya total laba sebelum pajak yang dihasilkan oleh setiap bank. Suatu bank dapat dikatakan sehat apabila tingkat profitabilitas bank mencapai 1,5% sesuai dengan peraturan Bank Indonesia. Dilihat dari nilai rata-rata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tahun 2012-2016 sebesar 1,28%, perkembangan terbesar berada pada tahun 2012 triwulan ke-3 sebesar 0,66% dengan posisi ROA pada tahun dan triwulan tersebut sebesar 1,31%, perkembangan terkecil berada pada tahun 2016 triwulan ke-4 sebesar -0,09 dengan posisi ROA pada tahun dan triwulan tersebut sebesar 1,44%.  Jadi, dapat disimpulkan bahwa Bank BNI Syariah pada tahun tersebut tidak masuk dalam kategori bank yang sehat.</w:t>
      </w:r>
    </w:p>
    <w:p>
      <w:pPr>
        <w:pStyle w:val="6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secara parsial terhadap return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pada Bank BNI Syariah periode tahun 2012-2016, hasil dari pengujian statistik nilai 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hitung </w:t>
      </w:r>
      <w:r>
        <w:rPr>
          <w:rFonts w:ascii="Times New Roman" w:hAnsi="Times New Roman" w:cs="Times New Roman"/>
          <w:sz w:val="24"/>
          <w:szCs w:val="24"/>
        </w:rPr>
        <w:t>sebesar -2,994 lebih kecil dari 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>sebesar 2,10 menunjukkan bahwa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diterima yang berarti secara secara parsial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berpengaruh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(ROA). Sedangkan pengaruh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secara parsial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pada Bank BNI Syariah periode tahun 2012-2016, hasil penelitian yang didapatkan dari pengujian statistik 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hitung </w:t>
      </w:r>
      <w:r>
        <w:rPr>
          <w:rFonts w:ascii="Times New Roman" w:hAnsi="Times New Roman" w:cs="Times New Roman"/>
          <w:sz w:val="24"/>
          <w:szCs w:val="24"/>
        </w:rPr>
        <w:t>sebesar 1,220 lebih besar dari 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 xml:space="preserve">sebesar -2,10 menunjukkan bahwa Ho diterima yang berarti secara parsial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tidak berpengaruh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 pada Bank BNI Syariah periode 2012-2016. Sedangkan, Pengaruh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dan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secara simultan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pada Bank BNI Syariah periode tahun 2012-2016, hasil penelitian yang didapatkan dari pengujian statistik dengan 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hitung </w:t>
      </w:r>
      <w:r>
        <w:rPr>
          <w:rFonts w:ascii="Times New Roman" w:hAnsi="Times New Roman" w:cs="Times New Roman"/>
          <w:sz w:val="24"/>
          <w:szCs w:val="24"/>
        </w:rPr>
        <w:t>sebesar 5,108 lebih besar dari 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 xml:space="preserve">3,59 dengan nilai koefisien korelasi rendah sebesar 37,5% dilihat dari interval koefisien bahwa 0,20-0,399 berarti menunjukkan tingkat hubungan variabel X1 dan X2 terhadap variabel Y yang rendah, ini menunjukkan bahwa secara simultan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dan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berpengaruh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pada Bank BNI Syariah periode tahun 2012-2016 dengan kontribusi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dan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sebesar 37,5%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artinya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en-US"/>
        </w:rPr>
        <w:t>diterima.</w:t>
      </w:r>
    </w:p>
    <w:p>
      <w:pPr>
        <w:pStyle w:val="6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Saran</w:t>
      </w:r>
    </w:p>
    <w:p>
      <w:pPr>
        <w:pStyle w:val="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Merujuk pada variabel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(X1). Tingkat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PT, Bank BNI Syariah menunjukkan perkembangan yang kurang baik, sebaiknya terus meningkatkan nilai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 di level yang memadai dan menata ulang permodalan secara efektif dan sebaiknya menjaga kepercayaan kepada industri perbankan itu sendiri.</w:t>
      </w:r>
    </w:p>
    <w:p>
      <w:pPr>
        <w:pStyle w:val="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Merujuk pada variabel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(X2). Dilihat dari laporan keuangan dan hasil uji statistik yang menunjukan tidak adanya pengaruh dari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Financing to Deposit Ratio, </w:t>
      </w:r>
      <w:r>
        <w:rPr>
          <w:rFonts w:ascii="Times New Roman" w:hAnsi="Times New Roman" w:cs="Times New Roman"/>
          <w:sz w:val="24"/>
          <w:szCs w:val="24"/>
        </w:rPr>
        <w:t>sebaiknya tingkatkan keseimbangan jumlah pembiayaan yang diberikan kepada masyarakat dengan simpanan masyarakat.</w:t>
      </w:r>
    </w:p>
    <w:p>
      <w:pPr>
        <w:pStyle w:val="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Merujuk pada variabel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(Y) yang perkembangannya selalu berfluktuatif dan cenderung turun pada periode tahun 2012-2016 diharapkan objek penelitian dapat menjaga dan meningkatkan profitabilitas bank (ROA) dan mempertahankan tingkat risiko pembiayaan. Objek penelitian sebaiknya menjaga penyaluran pembiayaan sehingga dapat menekan angka rasio </w:t>
      </w:r>
      <w:r>
        <w:rPr>
          <w:rFonts w:ascii="Times New Roman" w:hAnsi="Times New Roman" w:cs="Times New Roman"/>
          <w:i/>
          <w:sz w:val="24"/>
          <w:szCs w:val="24"/>
        </w:rPr>
        <w:t xml:space="preserve">Non Performing Financing </w:t>
      </w:r>
      <w:r>
        <w:rPr>
          <w:rFonts w:ascii="Times New Roman" w:hAnsi="Times New Roman" w:cs="Times New Roman"/>
          <w:sz w:val="24"/>
          <w:szCs w:val="24"/>
        </w:rPr>
        <w:t>(NPF) yang lebih rendah agar tidak masuk dalam kategori bank kurang sehat.</w:t>
      </w:r>
    </w:p>
    <w:sectPr>
      <w:footerReference r:id="rId3" w:type="default"/>
      <w:pgSz w:w="11906" w:h="16838"/>
      <w:pgMar w:top="1701" w:right="1701" w:bottom="1701" w:left="2268" w:header="708" w:footer="708" w:gutter="0"/>
      <w:pgNumType w:start="9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NJWO7QAAAABQEAAA8AAAAAAAAAAQAgAAAAIgAAAGRycy9kb3ducmV2LnhtbFBL&#10;AQIUABQAAAAIAIdO4kDTJtIj/gEAAAYEAAAOAAAAAAAAAAEAIAAAAB8BAABkcnMvZTJvRG9jLnht&#10;bFBLBQYAAAAABgAGAFkBAACP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73BF9"/>
    <w:multiLevelType w:val="multilevel"/>
    <w:tmpl w:val="1D173BF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D1159"/>
    <w:multiLevelType w:val="multilevel"/>
    <w:tmpl w:val="582D115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09"/>
    <w:rsid w:val="000501A2"/>
    <w:rsid w:val="0008050D"/>
    <w:rsid w:val="000F6E16"/>
    <w:rsid w:val="001163CB"/>
    <w:rsid w:val="001419C2"/>
    <w:rsid w:val="001454E1"/>
    <w:rsid w:val="001462A2"/>
    <w:rsid w:val="001B4EA7"/>
    <w:rsid w:val="001C077C"/>
    <w:rsid w:val="002C3AD5"/>
    <w:rsid w:val="002E5AED"/>
    <w:rsid w:val="003061F5"/>
    <w:rsid w:val="003520AD"/>
    <w:rsid w:val="00384844"/>
    <w:rsid w:val="003D5ED0"/>
    <w:rsid w:val="0041685A"/>
    <w:rsid w:val="0046549A"/>
    <w:rsid w:val="00473E88"/>
    <w:rsid w:val="00475F80"/>
    <w:rsid w:val="00483700"/>
    <w:rsid w:val="004D0474"/>
    <w:rsid w:val="004F73C4"/>
    <w:rsid w:val="00572E4D"/>
    <w:rsid w:val="00585991"/>
    <w:rsid w:val="005C4368"/>
    <w:rsid w:val="006D73C8"/>
    <w:rsid w:val="00734FF9"/>
    <w:rsid w:val="00782209"/>
    <w:rsid w:val="00857837"/>
    <w:rsid w:val="00896ACB"/>
    <w:rsid w:val="00897719"/>
    <w:rsid w:val="008F672C"/>
    <w:rsid w:val="009361D4"/>
    <w:rsid w:val="0095678D"/>
    <w:rsid w:val="00993AA6"/>
    <w:rsid w:val="00B26153"/>
    <w:rsid w:val="00B61858"/>
    <w:rsid w:val="00C57BD1"/>
    <w:rsid w:val="00CD6C09"/>
    <w:rsid w:val="00CE28F7"/>
    <w:rsid w:val="00D61062"/>
    <w:rsid w:val="00E0479C"/>
    <w:rsid w:val="00EA0AF6"/>
    <w:rsid w:val="00EE172C"/>
    <w:rsid w:val="00F10895"/>
    <w:rsid w:val="04651514"/>
    <w:rsid w:val="07BB5C43"/>
    <w:rsid w:val="08AC1C46"/>
    <w:rsid w:val="09452043"/>
    <w:rsid w:val="0E8A4E49"/>
    <w:rsid w:val="103116A6"/>
    <w:rsid w:val="121F0273"/>
    <w:rsid w:val="151C16CD"/>
    <w:rsid w:val="17AF7622"/>
    <w:rsid w:val="17CF11D6"/>
    <w:rsid w:val="198F3025"/>
    <w:rsid w:val="1B4A6644"/>
    <w:rsid w:val="1D0B7915"/>
    <w:rsid w:val="214D4858"/>
    <w:rsid w:val="251F31DA"/>
    <w:rsid w:val="27B917FC"/>
    <w:rsid w:val="28355DB4"/>
    <w:rsid w:val="295C0AD1"/>
    <w:rsid w:val="29C1479C"/>
    <w:rsid w:val="2B335BD7"/>
    <w:rsid w:val="2F555884"/>
    <w:rsid w:val="334A38AF"/>
    <w:rsid w:val="38AF7FEF"/>
    <w:rsid w:val="3B0A0A7B"/>
    <w:rsid w:val="3D471AC1"/>
    <w:rsid w:val="42436DFF"/>
    <w:rsid w:val="44403461"/>
    <w:rsid w:val="4A112A83"/>
    <w:rsid w:val="4CC554BA"/>
    <w:rsid w:val="4CE200B9"/>
    <w:rsid w:val="4E0B562D"/>
    <w:rsid w:val="4E905DAC"/>
    <w:rsid w:val="5784596A"/>
    <w:rsid w:val="5C8C1FEF"/>
    <w:rsid w:val="622420C5"/>
    <w:rsid w:val="689548F4"/>
    <w:rsid w:val="68F14EBE"/>
    <w:rsid w:val="6A180715"/>
    <w:rsid w:val="72413F7C"/>
    <w:rsid w:val="770D7D7B"/>
    <w:rsid w:val="7C12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List Paragraph1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742</Words>
  <Characters>4233</Characters>
  <Lines>35</Lines>
  <Paragraphs>9</Paragraphs>
  <ScaleCrop>false</ScaleCrop>
  <LinksUpToDate>false</LinksUpToDate>
  <CharactersWithSpaces>4966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2018-06-22T07:03:00Z</dcterms:created>
  <dc:creator>Windows User</dc:creator>
  <cp:lastModifiedBy>Asus</cp:lastModifiedBy>
  <dcterms:modified xsi:type="dcterms:W3CDTF">2018-08-25T05:28:15Z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